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08AC6" w14:textId="77777777" w:rsidR="00C60244" w:rsidRDefault="00DF1F9C">
      <w:pPr>
        <w:spacing w:line="259" w:lineRule="auto"/>
        <w:jc w:val="right"/>
        <w:rPr>
          <w:rFonts w:ascii="Aptos" w:eastAsia="Aptos" w:hAnsi="Aptos" w:cs="Aptos"/>
          <w:color w:val="002060"/>
        </w:rPr>
      </w:pPr>
      <w:r>
        <w:rPr>
          <w:noProof/>
        </w:rPr>
        <w:drawing>
          <wp:anchor distT="0" distB="0" distL="0" distR="0" simplePos="0" relativeHeight="251658240" behindDoc="0" locked="0" layoutInCell="1" hidden="0" allowOverlap="1" wp14:anchorId="7A9F3133" wp14:editId="482F6870">
            <wp:simplePos x="0" y="0"/>
            <wp:positionH relativeFrom="column">
              <wp:posOffset>0</wp:posOffset>
            </wp:positionH>
            <wp:positionV relativeFrom="paragraph">
              <wp:posOffset>0</wp:posOffset>
            </wp:positionV>
            <wp:extent cx="1856850" cy="1325023"/>
            <wp:effectExtent l="0" t="0" r="0" b="0"/>
            <wp:wrapSquare wrapText="bothSides" distT="0" distB="0" distL="0" distR="0"/>
            <wp:docPr id="1" name="image1.png" descr="Une image contenant texte, Police, Graphique,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png" descr="Une image contenant texte, Police, Graphique, logo&#10;&#10;Description générée automatiquement"/>
                    <pic:cNvPicPr preferRelativeResize="0"/>
                  </pic:nvPicPr>
                  <pic:blipFill>
                    <a:blip r:embed="rId4"/>
                    <a:srcRect/>
                    <a:stretch>
                      <a:fillRect/>
                    </a:stretch>
                  </pic:blipFill>
                  <pic:spPr>
                    <a:xfrm>
                      <a:off x="0" y="0"/>
                      <a:ext cx="1856850" cy="1325023"/>
                    </a:xfrm>
                    <a:prstGeom prst="rect">
                      <a:avLst/>
                    </a:prstGeom>
                    <a:ln/>
                  </pic:spPr>
                </pic:pic>
              </a:graphicData>
            </a:graphic>
          </wp:anchor>
        </w:drawing>
      </w:r>
    </w:p>
    <w:p w14:paraId="31D8C60A" w14:textId="77777777" w:rsidR="00C60244" w:rsidRDefault="00C60244">
      <w:pPr>
        <w:spacing w:line="259" w:lineRule="auto"/>
        <w:jc w:val="right"/>
        <w:rPr>
          <w:rFonts w:ascii="Aptos" w:eastAsia="Aptos" w:hAnsi="Aptos" w:cs="Aptos"/>
          <w:color w:val="002060"/>
        </w:rPr>
      </w:pPr>
    </w:p>
    <w:p w14:paraId="64324DFD" w14:textId="77777777" w:rsidR="00C60244" w:rsidRDefault="00DF1F9C">
      <w:pPr>
        <w:spacing w:line="259" w:lineRule="auto"/>
        <w:jc w:val="right"/>
        <w:rPr>
          <w:rFonts w:ascii="Aptos" w:eastAsia="Aptos" w:hAnsi="Aptos" w:cs="Aptos"/>
          <w:color w:val="002060"/>
        </w:rPr>
      </w:pPr>
      <w:r>
        <w:rPr>
          <w:rFonts w:ascii="Aptos" w:eastAsia="Aptos" w:hAnsi="Aptos" w:cs="Aptos"/>
          <w:color w:val="002060"/>
        </w:rPr>
        <w:t>Communiqué de presse</w:t>
      </w:r>
    </w:p>
    <w:p w14:paraId="78E6D360" w14:textId="77777777" w:rsidR="00C60244" w:rsidRDefault="00DF1F9C">
      <w:pPr>
        <w:tabs>
          <w:tab w:val="left" w:pos="493"/>
          <w:tab w:val="right" w:pos="6118"/>
        </w:tabs>
        <w:spacing w:line="259" w:lineRule="auto"/>
        <w:jc w:val="right"/>
        <w:rPr>
          <w:rFonts w:ascii="Aptos" w:eastAsia="Aptos" w:hAnsi="Aptos" w:cs="Aptos"/>
          <w:color w:val="002060"/>
        </w:rPr>
      </w:pPr>
      <w:r>
        <w:rPr>
          <w:rFonts w:ascii="Aptos" w:eastAsia="Aptos" w:hAnsi="Aptos" w:cs="Aptos"/>
          <w:color w:val="002060"/>
        </w:rPr>
        <w:tab/>
      </w:r>
      <w:r>
        <w:rPr>
          <w:rFonts w:ascii="Aptos" w:eastAsia="Aptos" w:hAnsi="Aptos" w:cs="Aptos"/>
          <w:color w:val="002060"/>
        </w:rPr>
        <w:tab/>
        <w:t>Le 20 février 2024</w:t>
      </w:r>
    </w:p>
    <w:p w14:paraId="4A47FC5D" w14:textId="77777777" w:rsidR="00C60244" w:rsidRDefault="00C60244">
      <w:pPr>
        <w:tabs>
          <w:tab w:val="left" w:pos="493"/>
          <w:tab w:val="right" w:pos="6118"/>
        </w:tabs>
        <w:spacing w:line="259" w:lineRule="auto"/>
        <w:jc w:val="right"/>
        <w:rPr>
          <w:rFonts w:ascii="Aptos" w:eastAsia="Aptos" w:hAnsi="Aptos" w:cs="Aptos"/>
          <w:color w:val="002060"/>
        </w:rPr>
      </w:pPr>
    </w:p>
    <w:p w14:paraId="46A96A9B" w14:textId="77777777" w:rsidR="00C60244" w:rsidRDefault="00C60244">
      <w:pPr>
        <w:tabs>
          <w:tab w:val="left" w:pos="493"/>
          <w:tab w:val="right" w:pos="6118"/>
        </w:tabs>
        <w:spacing w:line="259" w:lineRule="auto"/>
        <w:jc w:val="right"/>
        <w:rPr>
          <w:rFonts w:ascii="Aptos" w:eastAsia="Aptos" w:hAnsi="Aptos" w:cs="Aptos"/>
          <w:color w:val="002060"/>
        </w:rPr>
      </w:pPr>
    </w:p>
    <w:p w14:paraId="6C6B8895" w14:textId="77777777" w:rsidR="00C60244" w:rsidRDefault="00C60244">
      <w:pPr>
        <w:tabs>
          <w:tab w:val="left" w:pos="493"/>
          <w:tab w:val="right" w:pos="6118"/>
        </w:tabs>
        <w:spacing w:line="259" w:lineRule="auto"/>
        <w:jc w:val="right"/>
        <w:rPr>
          <w:rFonts w:ascii="Aptos" w:eastAsia="Aptos" w:hAnsi="Aptos" w:cs="Aptos"/>
          <w:color w:val="002060"/>
        </w:rPr>
      </w:pPr>
    </w:p>
    <w:p w14:paraId="7463B8E2" w14:textId="77777777" w:rsidR="00C60244" w:rsidRDefault="00C60244">
      <w:pPr>
        <w:tabs>
          <w:tab w:val="left" w:pos="493"/>
          <w:tab w:val="right" w:pos="6118"/>
        </w:tabs>
        <w:spacing w:line="259" w:lineRule="auto"/>
        <w:jc w:val="right"/>
        <w:rPr>
          <w:rFonts w:ascii="Aptos" w:eastAsia="Aptos" w:hAnsi="Aptos" w:cs="Aptos"/>
          <w:color w:val="002060"/>
        </w:rPr>
      </w:pPr>
    </w:p>
    <w:p w14:paraId="30B8A093" w14:textId="77777777" w:rsidR="00C60244" w:rsidRDefault="00C60244">
      <w:pPr>
        <w:tabs>
          <w:tab w:val="left" w:pos="493"/>
          <w:tab w:val="right" w:pos="6118"/>
        </w:tabs>
        <w:spacing w:line="259" w:lineRule="auto"/>
        <w:jc w:val="right"/>
        <w:rPr>
          <w:rFonts w:ascii="Aptos" w:eastAsia="Aptos" w:hAnsi="Aptos" w:cs="Aptos"/>
          <w:color w:val="002060"/>
        </w:rPr>
      </w:pPr>
    </w:p>
    <w:p w14:paraId="35F50597" w14:textId="77777777" w:rsidR="00C60244" w:rsidRDefault="00C60244">
      <w:pPr>
        <w:shd w:val="clear" w:color="auto" w:fill="FFFFFF"/>
        <w:tabs>
          <w:tab w:val="left" w:pos="493"/>
          <w:tab w:val="right" w:pos="6118"/>
        </w:tabs>
        <w:spacing w:after="160" w:line="259" w:lineRule="auto"/>
        <w:jc w:val="both"/>
        <w:rPr>
          <w:color w:val="FF0000"/>
          <w:sz w:val="24"/>
          <w:szCs w:val="24"/>
        </w:rPr>
      </w:pPr>
    </w:p>
    <w:p w14:paraId="13E431B3" w14:textId="77777777" w:rsidR="00C60244" w:rsidRDefault="00DF1F9C">
      <w:pPr>
        <w:shd w:val="clear" w:color="auto" w:fill="FFFFFF"/>
        <w:tabs>
          <w:tab w:val="left" w:pos="493"/>
          <w:tab w:val="right" w:pos="6118"/>
        </w:tabs>
        <w:spacing w:after="160" w:line="259" w:lineRule="auto"/>
        <w:jc w:val="center"/>
        <w:rPr>
          <w:color w:val="002060"/>
          <w:sz w:val="24"/>
          <w:szCs w:val="24"/>
        </w:rPr>
      </w:pPr>
      <w:r>
        <w:rPr>
          <w:b/>
          <w:color w:val="002060"/>
          <w:sz w:val="28"/>
          <w:szCs w:val="28"/>
        </w:rPr>
        <w:t xml:space="preserve">L'Association OETH lance "Objectif Parcours Pro" pour favoriser l’employabilité des salariés en situation ou risque d’inaptitude. </w:t>
      </w:r>
      <w:r>
        <w:rPr>
          <w:color w:val="002060"/>
          <w:sz w:val="24"/>
          <w:szCs w:val="24"/>
        </w:rPr>
        <w:t xml:space="preserve"> </w:t>
      </w:r>
    </w:p>
    <w:p w14:paraId="34534A37" w14:textId="77777777" w:rsidR="00C60244" w:rsidRDefault="00C60244">
      <w:pPr>
        <w:shd w:val="clear" w:color="auto" w:fill="FFFFFF"/>
        <w:tabs>
          <w:tab w:val="left" w:pos="493"/>
          <w:tab w:val="right" w:pos="6118"/>
        </w:tabs>
        <w:spacing w:after="160" w:line="259" w:lineRule="auto"/>
        <w:jc w:val="center"/>
        <w:rPr>
          <w:color w:val="002060"/>
          <w:sz w:val="24"/>
          <w:szCs w:val="24"/>
        </w:rPr>
      </w:pPr>
    </w:p>
    <w:p w14:paraId="7A52DD91" w14:textId="77777777" w:rsidR="00C60244" w:rsidRDefault="00DF1F9C">
      <w:pPr>
        <w:shd w:val="clear" w:color="auto" w:fill="FFFFFF"/>
        <w:tabs>
          <w:tab w:val="left" w:pos="493"/>
          <w:tab w:val="right" w:pos="6118"/>
        </w:tabs>
        <w:spacing w:after="160" w:line="259" w:lineRule="auto"/>
        <w:jc w:val="both"/>
        <w:rPr>
          <w:b/>
          <w:color w:val="002060"/>
          <w:sz w:val="24"/>
          <w:szCs w:val="24"/>
        </w:rPr>
      </w:pPr>
      <w:r>
        <w:rPr>
          <w:b/>
          <w:color w:val="002060"/>
          <w:sz w:val="24"/>
          <w:szCs w:val="24"/>
        </w:rPr>
        <w:t>Le secteur sanitaire, social et médico-social fait actuellement face à des défis majeurs en matière de santé au travail, caractérisés par des indicateurs de santé dégradés tels que des taux élevés d'absentéisme, d'accidents du travail et de maladies professionnelles. De plus, les licenciements pour inaptitude sont en augmentation, touchant une population de salariés de plus en plus jeunes. Pour le secteur sanitaire et social associatif, ce sont ainsi 7500 salariés qui sont sortis de l’emploi en 2021, soit 7</w:t>
      </w:r>
      <w:r>
        <w:rPr>
          <w:b/>
          <w:color w:val="002060"/>
          <w:sz w:val="24"/>
          <w:szCs w:val="24"/>
        </w:rPr>
        <w:t xml:space="preserve">% de l’ensemble des départs (source : baromètre emploi formation OPCO Santé 2022).  </w:t>
      </w:r>
    </w:p>
    <w:p w14:paraId="580B0FB7" w14:textId="77777777" w:rsidR="00C60244" w:rsidRDefault="00C60244">
      <w:pPr>
        <w:shd w:val="clear" w:color="auto" w:fill="FFFFFF"/>
        <w:tabs>
          <w:tab w:val="left" w:pos="493"/>
          <w:tab w:val="right" w:pos="6118"/>
        </w:tabs>
        <w:spacing w:after="160" w:line="259" w:lineRule="auto"/>
        <w:jc w:val="both"/>
        <w:rPr>
          <w:b/>
          <w:color w:val="002060"/>
          <w:sz w:val="24"/>
          <w:szCs w:val="24"/>
        </w:rPr>
      </w:pPr>
    </w:p>
    <w:p w14:paraId="3B66CC0D" w14:textId="77777777" w:rsidR="00C60244" w:rsidRDefault="00DF1F9C">
      <w:pPr>
        <w:shd w:val="clear" w:color="auto" w:fill="FFFFFF"/>
        <w:tabs>
          <w:tab w:val="left" w:pos="493"/>
          <w:tab w:val="right" w:pos="6118"/>
        </w:tabs>
        <w:spacing w:line="259" w:lineRule="auto"/>
        <w:jc w:val="both"/>
        <w:rPr>
          <w:b/>
        </w:rPr>
      </w:pPr>
      <w:r>
        <w:t xml:space="preserve">En réponse à ces enjeux, l'Association OETH, porteuse de l'Accord handicap du secteur, déploie </w:t>
      </w:r>
      <w:r>
        <w:rPr>
          <w:b/>
        </w:rPr>
        <w:t xml:space="preserve">"Objectif Parcours Pro", un nouveau dispositif destiné à renforcer l’employabilité des salariés en situation de handicap dont l'emploi est menacé par leur état de santé. </w:t>
      </w:r>
    </w:p>
    <w:p w14:paraId="71AEF020" w14:textId="77777777" w:rsidR="00C60244" w:rsidRDefault="00DF1F9C">
      <w:pPr>
        <w:shd w:val="clear" w:color="auto" w:fill="FFFFFF"/>
        <w:tabs>
          <w:tab w:val="left" w:pos="493"/>
          <w:tab w:val="right" w:pos="6118"/>
        </w:tabs>
        <w:spacing w:after="160" w:line="259" w:lineRule="auto"/>
        <w:jc w:val="both"/>
      </w:pPr>
      <w:r>
        <w:t xml:space="preserve">Ce dispositif concrétise une des orientations prioritaires de l’accord handicap 2023-2025 à savoir le développement de solutions permettant de lutter précocement contre la désinsertion professionnelle des salariés en risque d’inaptitude.  Avec Objectif Parcours Pro, l'association OETH entend éviter les conséquences liées aux ruptures de parcours pour le salarié et l’établissement qui l’emploie. </w:t>
      </w:r>
    </w:p>
    <w:p w14:paraId="5F3F00EC" w14:textId="77777777" w:rsidR="00C60244" w:rsidRDefault="00DF1F9C">
      <w:pPr>
        <w:shd w:val="clear" w:color="auto" w:fill="FFFFFF"/>
        <w:tabs>
          <w:tab w:val="left" w:pos="493"/>
          <w:tab w:val="right" w:pos="6118"/>
        </w:tabs>
        <w:spacing w:after="160" w:line="259" w:lineRule="auto"/>
        <w:jc w:val="both"/>
      </w:pPr>
      <w:r>
        <w:t>"</w:t>
      </w:r>
      <w:r>
        <w:rPr>
          <w:i/>
        </w:rPr>
        <w:t>Alors que le secteur peine à recruter, se priver des compétences de ces salariés, dont l'engagement professionnel est souvent intact, est un vrai gâchis. Nous devons nous mobiliser pour conserver, renforcer, soutenir ces compétences et accompagner ces parcours</w:t>
      </w:r>
      <w:r>
        <w:t xml:space="preserve">."  Pierre-Marie </w:t>
      </w:r>
      <w:proofErr w:type="spellStart"/>
      <w:r>
        <w:t>Lasbleis</w:t>
      </w:r>
      <w:proofErr w:type="spellEnd"/>
      <w:r>
        <w:t xml:space="preserve">, Directeur de l’association OETH  </w:t>
      </w:r>
    </w:p>
    <w:p w14:paraId="0F133CF9" w14:textId="77777777" w:rsidR="00C60244" w:rsidRDefault="00DF1F9C">
      <w:pPr>
        <w:shd w:val="clear" w:color="auto" w:fill="FFFFFF"/>
        <w:tabs>
          <w:tab w:val="left" w:pos="493"/>
          <w:tab w:val="right" w:pos="6118"/>
        </w:tabs>
        <w:spacing w:line="259" w:lineRule="auto"/>
        <w:jc w:val="both"/>
      </w:pPr>
      <w:r>
        <w:t xml:space="preserve"> </w:t>
      </w:r>
    </w:p>
    <w:p w14:paraId="7016CAC3" w14:textId="24FEBFD5" w:rsidR="00C60244" w:rsidRDefault="00DF1F9C">
      <w:pPr>
        <w:shd w:val="clear" w:color="auto" w:fill="FFFFFF"/>
        <w:tabs>
          <w:tab w:val="left" w:pos="493"/>
          <w:tab w:val="right" w:pos="6118"/>
        </w:tabs>
        <w:spacing w:after="160" w:line="259" w:lineRule="auto"/>
        <w:jc w:val="both"/>
      </w:pPr>
      <w:r>
        <w:t xml:space="preserve">A l'issue d'un appel d'offre, l'association OETH a confié la mise en œuvre du dispositif à huit prestataires territoriaux animés et coordonnés par l'association </w:t>
      </w:r>
      <w:proofErr w:type="spellStart"/>
      <w:r>
        <w:t>Thransition</w:t>
      </w:r>
      <w:proofErr w:type="spellEnd"/>
      <w:r>
        <w:t xml:space="preserve">, </w:t>
      </w:r>
      <w:r>
        <w:t xml:space="preserve">acteur pluridisciplinaire sur les questions de handicap au travail et partenaire historique de l’association. </w:t>
      </w:r>
    </w:p>
    <w:p w14:paraId="356D7E6C" w14:textId="77777777" w:rsidR="00C60244" w:rsidRDefault="00C60244">
      <w:pPr>
        <w:shd w:val="clear" w:color="auto" w:fill="FFFFFF"/>
        <w:tabs>
          <w:tab w:val="left" w:pos="493"/>
          <w:tab w:val="right" w:pos="6118"/>
        </w:tabs>
        <w:spacing w:after="160" w:line="259" w:lineRule="auto"/>
        <w:jc w:val="both"/>
      </w:pPr>
    </w:p>
    <w:p w14:paraId="4497B825" w14:textId="77777777" w:rsidR="00C60244" w:rsidRDefault="00C60244">
      <w:pPr>
        <w:shd w:val="clear" w:color="auto" w:fill="FFFFFF"/>
        <w:tabs>
          <w:tab w:val="left" w:pos="493"/>
          <w:tab w:val="right" w:pos="6118"/>
        </w:tabs>
        <w:spacing w:after="160" w:line="259" w:lineRule="auto"/>
        <w:jc w:val="both"/>
      </w:pPr>
    </w:p>
    <w:p w14:paraId="0B804527" w14:textId="77777777" w:rsidR="00C60244" w:rsidRDefault="00C60244">
      <w:pPr>
        <w:shd w:val="clear" w:color="auto" w:fill="FFFFFF"/>
        <w:tabs>
          <w:tab w:val="left" w:pos="493"/>
          <w:tab w:val="right" w:pos="6118"/>
        </w:tabs>
        <w:spacing w:after="160" w:line="259" w:lineRule="auto"/>
        <w:jc w:val="both"/>
      </w:pPr>
    </w:p>
    <w:p w14:paraId="52E9973F" w14:textId="77777777" w:rsidR="00C60244" w:rsidRDefault="00DF1F9C">
      <w:pPr>
        <w:shd w:val="clear" w:color="auto" w:fill="FFFFFF"/>
        <w:tabs>
          <w:tab w:val="left" w:pos="493"/>
          <w:tab w:val="right" w:pos="6118"/>
        </w:tabs>
        <w:spacing w:after="160" w:line="259" w:lineRule="auto"/>
        <w:jc w:val="both"/>
        <w:rPr>
          <w:color w:val="2E247A"/>
          <w:sz w:val="24"/>
          <w:szCs w:val="24"/>
        </w:rPr>
      </w:pPr>
      <w:r>
        <w:rPr>
          <w:b/>
          <w:color w:val="002060"/>
          <w:sz w:val="24"/>
          <w:szCs w:val="24"/>
        </w:rPr>
        <w:lastRenderedPageBreak/>
        <w:t xml:space="preserve">Objectif Parcours Pro : un accompagnement sur mesure, modulaire, collaboratif. </w:t>
      </w:r>
      <w:r>
        <w:rPr>
          <w:b/>
          <w:color w:val="2E247A"/>
          <w:sz w:val="24"/>
          <w:szCs w:val="24"/>
        </w:rPr>
        <w:t xml:space="preserve"> </w:t>
      </w:r>
      <w:r>
        <w:rPr>
          <w:color w:val="2E247A"/>
          <w:sz w:val="24"/>
          <w:szCs w:val="24"/>
        </w:rPr>
        <w:t xml:space="preserve"> </w:t>
      </w:r>
    </w:p>
    <w:p w14:paraId="665C40EC" w14:textId="77777777" w:rsidR="00C60244" w:rsidRDefault="00DF1F9C">
      <w:pPr>
        <w:shd w:val="clear" w:color="auto" w:fill="FFFFFF"/>
        <w:tabs>
          <w:tab w:val="left" w:pos="493"/>
          <w:tab w:val="right" w:pos="6118"/>
        </w:tabs>
        <w:spacing w:after="160" w:line="259" w:lineRule="auto"/>
        <w:ind w:left="-20" w:right="-20"/>
        <w:jc w:val="both"/>
      </w:pPr>
      <w:r>
        <w:t xml:space="preserve">Objectif Parcours Pro propose un accompagnement sur mesure, modulaire qui permet d’envisager toutes les possibilités d’évolution professionnelle pour un salarié confronté à une problématique de maintien dans l'emploi. Ce processus collaboratif implique le salarié, l’employeur qui fait partie intégrante de la recherche de solutions de maintien et une équipe pluridisciplinaire. </w:t>
      </w:r>
    </w:p>
    <w:p w14:paraId="7C33934B" w14:textId="77777777" w:rsidR="00C60244" w:rsidRDefault="00DF1F9C">
      <w:pPr>
        <w:shd w:val="clear" w:color="auto" w:fill="FFFFFF"/>
        <w:tabs>
          <w:tab w:val="left" w:pos="493"/>
          <w:tab w:val="right" w:pos="6118"/>
        </w:tabs>
        <w:spacing w:after="160" w:line="259" w:lineRule="auto"/>
        <w:ind w:left="-20" w:right="-20"/>
        <w:jc w:val="both"/>
      </w:pPr>
      <w:r>
        <w:t xml:space="preserve">L'accompagnement est délivré par des prestataires, à l'expertise avérée dans l'accompagnement de salariés en situation de handicap, habilités par l’association OETH, et qui connaissent bien le secteur et ses métiers, maîtrisent pleinement les aides, les dispositifs et les différentes ressources à mobiliser sur leur territoire.   </w:t>
      </w:r>
    </w:p>
    <w:p w14:paraId="61A6A439" w14:textId="77777777" w:rsidR="00C60244" w:rsidRDefault="00DF1F9C">
      <w:pPr>
        <w:shd w:val="clear" w:color="auto" w:fill="FFFFFF"/>
        <w:tabs>
          <w:tab w:val="left" w:pos="493"/>
          <w:tab w:val="right" w:pos="6118"/>
        </w:tabs>
        <w:spacing w:after="160" w:line="259" w:lineRule="auto"/>
        <w:jc w:val="both"/>
      </w:pPr>
      <w:r>
        <w:t xml:space="preserve">Simple et rapide, la mobilisation d’Objectif Parcours Pro permet de démarrer l’accompagnement dès que le besoin apparaît. Les employeurs relevant de l’accord handicap, le Service de Prévention en Santé au Travail et Cap emploi ont la possibilité d’actionner le dispositif auprès de l’association OETH qui prend en charge l’intégralité des coûts. </w:t>
      </w:r>
    </w:p>
    <w:p w14:paraId="50F701D6" w14:textId="77777777" w:rsidR="00C60244" w:rsidRDefault="00C60244">
      <w:pPr>
        <w:shd w:val="clear" w:color="auto" w:fill="FFFFFF"/>
        <w:tabs>
          <w:tab w:val="left" w:pos="493"/>
          <w:tab w:val="right" w:pos="6118"/>
        </w:tabs>
        <w:spacing w:after="160" w:line="259" w:lineRule="auto"/>
        <w:jc w:val="both"/>
        <w:rPr>
          <w:color w:val="002060"/>
          <w:sz w:val="24"/>
          <w:szCs w:val="24"/>
        </w:rPr>
      </w:pPr>
    </w:p>
    <w:p w14:paraId="2F0E547F" w14:textId="77777777" w:rsidR="00C60244" w:rsidRDefault="00DF1F9C">
      <w:pPr>
        <w:shd w:val="clear" w:color="auto" w:fill="FFFFFF"/>
        <w:tabs>
          <w:tab w:val="left" w:pos="493"/>
          <w:tab w:val="right" w:pos="6118"/>
        </w:tabs>
        <w:spacing w:after="160" w:line="259" w:lineRule="auto"/>
        <w:ind w:left="-20" w:right="-20"/>
        <w:jc w:val="both"/>
        <w:rPr>
          <w:color w:val="002060"/>
          <w:sz w:val="20"/>
          <w:szCs w:val="20"/>
        </w:rPr>
      </w:pPr>
      <w:r>
        <w:rPr>
          <w:b/>
          <w:color w:val="002060"/>
          <w:sz w:val="20"/>
          <w:szCs w:val="20"/>
        </w:rPr>
        <w:t xml:space="preserve">A propos de l’association OETH </w:t>
      </w:r>
      <w:r>
        <w:rPr>
          <w:color w:val="002060"/>
          <w:sz w:val="20"/>
          <w:szCs w:val="20"/>
        </w:rPr>
        <w:t xml:space="preserve"> </w:t>
      </w:r>
    </w:p>
    <w:p w14:paraId="53CC593D" w14:textId="77777777" w:rsidR="00C60244" w:rsidRDefault="00DF1F9C">
      <w:pPr>
        <w:shd w:val="clear" w:color="auto" w:fill="FFFFFF"/>
        <w:tabs>
          <w:tab w:val="left" w:pos="493"/>
          <w:tab w:val="right" w:pos="6118"/>
        </w:tabs>
        <w:spacing w:after="160" w:line="259" w:lineRule="auto"/>
        <w:ind w:left="-20" w:right="-20"/>
        <w:jc w:val="both"/>
        <w:rPr>
          <w:sz w:val="20"/>
          <w:szCs w:val="20"/>
        </w:rPr>
      </w:pPr>
      <w:r>
        <w:rPr>
          <w:sz w:val="20"/>
          <w:szCs w:val="20"/>
        </w:rPr>
        <w:t>L’association OETH porte l’accord handicap agréé du secteur sanitaire et social associatif depuis 1991. À ce titre, elle collecte directement auprès des établissements couverts par l’accord, la contribution de ceux dont le taux d’emploi de travailleurs handicapés est inférieur à 6 %. L’association OETH développe une offre de service spécifique et innovante, propose des aides financières adaptées pour accompagner les entreprises du secteur à répondre à un objectif ambitieux d’emploi de travailleurs handicapé</w:t>
      </w:r>
      <w:r>
        <w:rPr>
          <w:sz w:val="20"/>
          <w:szCs w:val="20"/>
        </w:rPr>
        <w:t xml:space="preserve">s. </w:t>
      </w:r>
    </w:p>
    <w:p w14:paraId="61884F7A" w14:textId="77777777" w:rsidR="00C60244" w:rsidRDefault="00DF1F9C">
      <w:pPr>
        <w:shd w:val="clear" w:color="auto" w:fill="FFFFFF"/>
        <w:tabs>
          <w:tab w:val="left" w:pos="493"/>
          <w:tab w:val="right" w:pos="6118"/>
        </w:tabs>
        <w:spacing w:after="160" w:line="259" w:lineRule="auto"/>
        <w:jc w:val="both"/>
        <w:rPr>
          <w:color w:val="002060"/>
          <w:sz w:val="20"/>
          <w:szCs w:val="20"/>
        </w:rPr>
      </w:pPr>
      <w:r>
        <w:rPr>
          <w:b/>
          <w:color w:val="002060"/>
          <w:sz w:val="20"/>
          <w:szCs w:val="20"/>
        </w:rPr>
        <w:t xml:space="preserve">A propos de THRANSITION </w:t>
      </w:r>
      <w:r>
        <w:rPr>
          <w:color w:val="002060"/>
          <w:sz w:val="20"/>
          <w:szCs w:val="20"/>
        </w:rPr>
        <w:t xml:space="preserve"> </w:t>
      </w:r>
    </w:p>
    <w:p w14:paraId="455DDEC0" w14:textId="77777777" w:rsidR="00C60244" w:rsidRDefault="00DF1F9C">
      <w:pPr>
        <w:shd w:val="clear" w:color="auto" w:fill="FFFFFF"/>
        <w:tabs>
          <w:tab w:val="left" w:pos="493"/>
          <w:tab w:val="right" w:pos="6118"/>
        </w:tabs>
        <w:spacing w:after="160" w:line="259" w:lineRule="auto"/>
        <w:ind w:left="-20" w:right="-20"/>
        <w:jc w:val="both"/>
        <w:rPr>
          <w:sz w:val="20"/>
          <w:szCs w:val="20"/>
        </w:rPr>
      </w:pPr>
      <w:proofErr w:type="spellStart"/>
      <w:r>
        <w:rPr>
          <w:sz w:val="20"/>
          <w:szCs w:val="20"/>
        </w:rPr>
        <w:t>Thransition</w:t>
      </w:r>
      <w:proofErr w:type="spellEnd"/>
      <w:r>
        <w:rPr>
          <w:sz w:val="20"/>
          <w:szCs w:val="20"/>
        </w:rPr>
        <w:t xml:space="preserve"> est un cabinet conseil associatif. Ses équipes créent et déploient des programmes permettant l’accès à l’emploi et le maintien dans l’emploi de personnes rencontrant des problématiques de santé. Tant aux côtés des employeurs que des salariés et agents nous soutenons la mise en œuvre de parcours sur-mesure qui prennent en considération toutes les singularités. Centre de formation, d’évaluation, de maintien dans et en emploi, nous conseillons par ailleurs l’employeur à chaque étape d’une politique handicap r</w:t>
      </w:r>
      <w:r>
        <w:rPr>
          <w:sz w:val="20"/>
          <w:szCs w:val="20"/>
        </w:rPr>
        <w:t xml:space="preserve">éaliste et réalisable.  </w:t>
      </w:r>
    </w:p>
    <w:p w14:paraId="3D374703" w14:textId="77777777" w:rsidR="00C60244" w:rsidRDefault="00DF1F9C">
      <w:pPr>
        <w:shd w:val="clear" w:color="auto" w:fill="FFFFFF"/>
        <w:tabs>
          <w:tab w:val="left" w:pos="493"/>
          <w:tab w:val="right" w:pos="6118"/>
        </w:tabs>
        <w:spacing w:line="259" w:lineRule="auto"/>
        <w:ind w:left="-20" w:right="-20"/>
        <w:jc w:val="both"/>
        <w:rPr>
          <w:sz w:val="20"/>
          <w:szCs w:val="20"/>
        </w:rPr>
      </w:pPr>
      <w:r>
        <w:rPr>
          <w:sz w:val="20"/>
          <w:szCs w:val="20"/>
        </w:rPr>
        <w:t xml:space="preserve">* Les prestataires habilités  </w:t>
      </w:r>
    </w:p>
    <w:p w14:paraId="0CAC2113" w14:textId="77777777" w:rsidR="00C60244" w:rsidRDefault="00DF1F9C">
      <w:pPr>
        <w:shd w:val="clear" w:color="auto" w:fill="FFFFFF"/>
        <w:tabs>
          <w:tab w:val="left" w:pos="493"/>
          <w:tab w:val="right" w:pos="6118"/>
        </w:tabs>
        <w:spacing w:after="160" w:line="259" w:lineRule="auto"/>
        <w:ind w:left="-20" w:right="-20"/>
        <w:jc w:val="both"/>
        <w:rPr>
          <w:sz w:val="20"/>
          <w:szCs w:val="20"/>
        </w:rPr>
      </w:pPr>
      <w:proofErr w:type="spellStart"/>
      <w:proofErr w:type="gramStart"/>
      <w:r>
        <w:rPr>
          <w:sz w:val="20"/>
          <w:szCs w:val="20"/>
        </w:rPr>
        <w:t>Thransition</w:t>
      </w:r>
      <w:proofErr w:type="spellEnd"/>
      <w:r>
        <w:rPr>
          <w:sz w:val="20"/>
          <w:szCs w:val="20"/>
        </w:rPr>
        <w:t xml:space="preserve"> ,</w:t>
      </w:r>
      <w:proofErr w:type="gramEnd"/>
      <w:r>
        <w:rPr>
          <w:sz w:val="20"/>
          <w:szCs w:val="20"/>
        </w:rPr>
        <w:t xml:space="preserve"> Emploi et Handicap, OPF Sarthe,  Pyramide Est, OHE </w:t>
      </w:r>
      <w:proofErr w:type="spellStart"/>
      <w:r>
        <w:rPr>
          <w:sz w:val="20"/>
          <w:szCs w:val="20"/>
        </w:rPr>
        <w:t>Promethee</w:t>
      </w:r>
      <w:proofErr w:type="spellEnd"/>
      <w:r>
        <w:rPr>
          <w:sz w:val="20"/>
          <w:szCs w:val="20"/>
        </w:rPr>
        <w:t xml:space="preserve"> Isère, ADC Recrutement, </w:t>
      </w:r>
      <w:proofErr w:type="spellStart"/>
      <w:r>
        <w:rPr>
          <w:sz w:val="20"/>
          <w:szCs w:val="20"/>
        </w:rPr>
        <w:t>Dephie</w:t>
      </w:r>
      <w:proofErr w:type="spellEnd"/>
      <w:r>
        <w:rPr>
          <w:sz w:val="20"/>
          <w:szCs w:val="20"/>
        </w:rPr>
        <w:t xml:space="preserve">,  </w:t>
      </w:r>
      <w:proofErr w:type="spellStart"/>
      <w:r>
        <w:rPr>
          <w:sz w:val="20"/>
          <w:szCs w:val="20"/>
        </w:rPr>
        <w:t>Beest</w:t>
      </w:r>
      <w:proofErr w:type="spellEnd"/>
      <w:r>
        <w:rPr>
          <w:sz w:val="20"/>
          <w:szCs w:val="20"/>
        </w:rPr>
        <w:t xml:space="preserve"> conseil </w:t>
      </w:r>
    </w:p>
    <w:p w14:paraId="427D875B" w14:textId="77777777" w:rsidR="00C60244" w:rsidRDefault="00C60244">
      <w:pPr>
        <w:shd w:val="clear" w:color="auto" w:fill="FFFFFF"/>
        <w:tabs>
          <w:tab w:val="left" w:pos="493"/>
          <w:tab w:val="right" w:pos="6118"/>
        </w:tabs>
        <w:spacing w:after="160" w:line="259" w:lineRule="auto"/>
        <w:ind w:left="-20" w:right="-20"/>
        <w:jc w:val="both"/>
        <w:rPr>
          <w:color w:val="002060"/>
          <w:sz w:val="20"/>
          <w:szCs w:val="20"/>
        </w:rPr>
      </w:pPr>
    </w:p>
    <w:p w14:paraId="64BE8366" w14:textId="77777777" w:rsidR="00C60244" w:rsidRDefault="00DF1F9C">
      <w:pPr>
        <w:spacing w:line="240" w:lineRule="auto"/>
        <w:jc w:val="both"/>
        <w:rPr>
          <w:rFonts w:ascii="Aptos" w:eastAsia="Aptos" w:hAnsi="Aptos" w:cs="Aptos"/>
          <w:b/>
          <w:color w:val="002060"/>
        </w:rPr>
      </w:pPr>
      <w:r>
        <w:rPr>
          <w:rFonts w:ascii="Aptos" w:eastAsia="Aptos" w:hAnsi="Aptos" w:cs="Aptos"/>
          <w:b/>
          <w:color w:val="002060"/>
        </w:rPr>
        <w:t xml:space="preserve">Contact presse </w:t>
      </w:r>
    </w:p>
    <w:p w14:paraId="7BC3DBFC" w14:textId="77777777" w:rsidR="00C60244" w:rsidRDefault="00C60244">
      <w:pPr>
        <w:spacing w:line="240" w:lineRule="auto"/>
        <w:jc w:val="both"/>
        <w:rPr>
          <w:rFonts w:ascii="Aptos" w:eastAsia="Aptos" w:hAnsi="Aptos" w:cs="Aptos"/>
          <w:b/>
          <w:color w:val="002060"/>
        </w:rPr>
      </w:pPr>
    </w:p>
    <w:p w14:paraId="23DB3D06" w14:textId="77777777" w:rsidR="00C60244" w:rsidRDefault="00DF1F9C">
      <w:pPr>
        <w:spacing w:line="240" w:lineRule="auto"/>
        <w:jc w:val="both"/>
        <w:rPr>
          <w:rFonts w:ascii="Aptos" w:eastAsia="Aptos" w:hAnsi="Aptos" w:cs="Aptos"/>
          <w:b/>
          <w:color w:val="002060"/>
        </w:rPr>
      </w:pPr>
      <w:r>
        <w:rPr>
          <w:rFonts w:ascii="Aptos" w:eastAsia="Aptos" w:hAnsi="Aptos" w:cs="Aptos"/>
          <w:sz w:val="20"/>
          <w:szCs w:val="20"/>
        </w:rPr>
        <w:t>Lolita Tcaci - lolita.t@oxygen-rp.com - 06.28.23.88.11</w:t>
      </w:r>
    </w:p>
    <w:p w14:paraId="2CC0C701" w14:textId="77777777" w:rsidR="00C60244" w:rsidRDefault="00C60244">
      <w:pPr>
        <w:tabs>
          <w:tab w:val="left" w:pos="493"/>
          <w:tab w:val="right" w:pos="6118"/>
        </w:tabs>
        <w:spacing w:line="259" w:lineRule="auto"/>
        <w:jc w:val="both"/>
        <w:rPr>
          <w:rFonts w:ascii="Aptos" w:eastAsia="Aptos" w:hAnsi="Aptos" w:cs="Aptos"/>
          <w:color w:val="002060"/>
        </w:rPr>
      </w:pPr>
    </w:p>
    <w:sectPr w:rsidR="00C6024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244"/>
    <w:rsid w:val="00C60244"/>
    <w:rsid w:val="00DF1F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1D01"/>
  <w15:docId w15:val="{4194965A-2561-4B13-A6C1-E794959E5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16369A5D3AD418A3E334F5DC581DF" ma:contentTypeVersion="15" ma:contentTypeDescription="Crée un document." ma:contentTypeScope="" ma:versionID="7c551ecf4353843c37ec9a61945effb3">
  <xsd:schema xmlns:xsd="http://www.w3.org/2001/XMLSchema" xmlns:xs="http://www.w3.org/2001/XMLSchema" xmlns:p="http://schemas.microsoft.com/office/2006/metadata/properties" xmlns:ns2="d6917180-14c7-45aa-867a-9fe247789028" xmlns:ns3="8a79d34e-e4f8-4e47-96de-ea97825cb492" targetNamespace="http://schemas.microsoft.com/office/2006/metadata/properties" ma:root="true" ma:fieldsID="3174dd627eeb599f7cb5d04b25b5f94f" ns2:_="" ns3:_="">
    <xsd:import namespace="d6917180-14c7-45aa-867a-9fe247789028"/>
    <xsd:import namespace="8a79d34e-e4f8-4e47-96de-ea97825cb49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17180-14c7-45aa-867a-9fe2477890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2f90dbde-1ac8-4743-a540-5718a5b47a6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9d34e-e4f8-4e47-96de-ea97825cb49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04e3c7-a648-43ed-8d15-615566608ea1}" ma:internalName="TaxCatchAll" ma:showField="CatchAllData" ma:web="8a79d34e-e4f8-4e47-96de-ea97825cb49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a79d34e-e4f8-4e47-96de-ea97825cb492" xsi:nil="true"/>
    <lcf76f155ced4ddcb4097134ff3c332f xmlns="d6917180-14c7-45aa-867a-9fe2477890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EBAF1A-3EC4-45AB-B030-BF6F0816E07E}"/>
</file>

<file path=customXml/itemProps2.xml><?xml version="1.0" encoding="utf-8"?>
<ds:datastoreItem xmlns:ds="http://schemas.openxmlformats.org/officeDocument/2006/customXml" ds:itemID="{52A88C7A-E473-49BA-A802-F473A2E25125}"/>
</file>

<file path=customXml/itemProps3.xml><?xml version="1.0" encoding="utf-8"?>
<ds:datastoreItem xmlns:ds="http://schemas.openxmlformats.org/officeDocument/2006/customXml" ds:itemID="{352CDCF0-7C40-408A-8FDF-8D0BEEEA40B9}"/>
</file>

<file path=docProps/app.xml><?xml version="1.0" encoding="utf-8"?>
<Properties xmlns="http://schemas.openxmlformats.org/officeDocument/2006/extended-properties" xmlns:vt="http://schemas.openxmlformats.org/officeDocument/2006/docPropsVTypes">
  <Template>Normal</Template>
  <TotalTime>7</TotalTime>
  <Pages>2</Pages>
  <Words>700</Words>
  <Characters>3852</Characters>
  <Application>Microsoft Office Word</Application>
  <DocSecurity>4</DocSecurity>
  <Lines>32</Lines>
  <Paragraphs>9</Paragraphs>
  <ScaleCrop>false</ScaleCrop>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MARION</dc:creator>
  <cp:lastModifiedBy>Olivia MARION</cp:lastModifiedBy>
  <cp:revision>2</cp:revision>
  <dcterms:created xsi:type="dcterms:W3CDTF">2024-02-16T08:54:00Z</dcterms:created>
  <dcterms:modified xsi:type="dcterms:W3CDTF">2024-02-16T08:54:00Z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0x01010049816369A5D3AD418A3E334F5DC581DF</vt:lpwstr>
  </property>
</Properties>
</file>